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DF92" w14:textId="77777777" w:rsidR="00FF4F9D" w:rsidRDefault="00FF4F9D" w:rsidP="00FF4F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b/>
          <w:sz w:val="23"/>
          <w:szCs w:val="21"/>
        </w:rPr>
      </w:pPr>
      <w:r w:rsidRPr="00A2676A">
        <w:rPr>
          <w:rFonts w:ascii="Clearface-Regular" w:hAnsi="Clearface-Regular" w:cs="Clearface-Regular"/>
          <w:b/>
          <w:sz w:val="24"/>
        </w:rPr>
        <w:t>Identifie le procédé utilisé afin d’éviter la reprise de l’information</w:t>
      </w:r>
      <w:r>
        <w:rPr>
          <w:rFonts w:ascii="Clearface-Regular" w:hAnsi="Clearface-Regular" w:cs="Clearface-Regular"/>
          <w:b/>
          <w:sz w:val="24"/>
        </w:rPr>
        <w:t xml:space="preserve"> et souligne ou met en gras les éléments en question</w:t>
      </w:r>
      <w:r w:rsidRPr="00A2676A">
        <w:rPr>
          <w:rFonts w:ascii="Clearface-Regular" w:hAnsi="Clearface-Regular" w:cs="Clearface-Regular"/>
          <w:b/>
          <w:sz w:val="24"/>
        </w:rPr>
        <w:t>.</w:t>
      </w:r>
      <w:r w:rsidRPr="00A2676A">
        <w:rPr>
          <w:rFonts w:ascii="StoneSans" w:hAnsi="StoneSans" w:cs="StoneSans"/>
          <w:b/>
          <w:sz w:val="23"/>
          <w:szCs w:val="21"/>
        </w:rPr>
        <w:t xml:space="preserve"> </w:t>
      </w:r>
    </w:p>
    <w:p w14:paraId="64ECA5AD" w14:textId="77777777" w:rsidR="00FF4F9D" w:rsidRPr="00A2676A" w:rsidRDefault="00FF4F9D" w:rsidP="00FF4F9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StoneSans" w:hAnsi="StoneSans" w:cs="StoneSans"/>
          <w:b/>
          <w:sz w:val="23"/>
          <w:szCs w:val="21"/>
        </w:rPr>
      </w:pPr>
    </w:p>
    <w:p w14:paraId="59A9CC58" w14:textId="77777777" w:rsidR="00FF4F9D" w:rsidRPr="004F7A25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sz w:val="21"/>
          <w:szCs w:val="21"/>
          <w:highlight w:val="magenta"/>
        </w:rPr>
      </w:pPr>
      <w:r w:rsidRPr="004F7A25">
        <w:rPr>
          <w:rFonts w:ascii="StoneSans" w:hAnsi="StoneSans" w:cs="StoneSans"/>
          <w:b/>
          <w:i/>
          <w:sz w:val="21"/>
          <w:szCs w:val="21"/>
          <w:highlight w:val="magenta"/>
        </w:rPr>
        <w:t>Terme générique vers un terme spécifique</w:t>
      </w:r>
    </w:p>
    <w:p w14:paraId="621139D0" w14:textId="77777777" w:rsidR="00FF4F9D" w:rsidRPr="00AD4021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i/>
          <w:sz w:val="21"/>
          <w:szCs w:val="21"/>
        </w:rPr>
      </w:pPr>
      <w:bookmarkStart w:id="0" w:name="_Hlk126053155"/>
      <w:bookmarkStart w:id="1" w:name="_Hlk126052574"/>
      <w:r w:rsidRPr="004F7A25">
        <w:rPr>
          <w:rFonts w:ascii="StoneSans" w:hAnsi="StoneSans" w:cs="StoneSans"/>
          <w:b/>
          <w:i/>
          <w:sz w:val="21"/>
          <w:szCs w:val="21"/>
          <w:highlight w:val="magenta"/>
        </w:rPr>
        <w:t>Terme spécifique vers un terme générique</w:t>
      </w:r>
      <w:bookmarkEnd w:id="0"/>
    </w:p>
    <w:bookmarkEnd w:id="1"/>
    <w:p w14:paraId="49E3C557" w14:textId="77777777" w:rsidR="00FF4F9D" w:rsidRPr="004F7A25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i/>
          <w:sz w:val="21"/>
          <w:szCs w:val="21"/>
          <w:highlight w:val="red"/>
        </w:rPr>
      </w:pPr>
      <w:r w:rsidRPr="004F7A25">
        <w:rPr>
          <w:rFonts w:ascii="StoneSans" w:hAnsi="StoneSans" w:cs="StoneSans"/>
          <w:b/>
          <w:i/>
          <w:sz w:val="21"/>
          <w:szCs w:val="21"/>
          <w:highlight w:val="red"/>
        </w:rPr>
        <w:t>Nominalisation d’un verbe</w:t>
      </w:r>
    </w:p>
    <w:p w14:paraId="42168035" w14:textId="77777777" w:rsidR="00FF4F9D" w:rsidRPr="00AD4021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i/>
          <w:sz w:val="21"/>
          <w:szCs w:val="21"/>
        </w:rPr>
      </w:pPr>
      <w:r w:rsidRPr="004F7A25">
        <w:rPr>
          <w:rFonts w:ascii="StoneSans" w:hAnsi="StoneSans" w:cs="StoneSans"/>
          <w:b/>
          <w:i/>
          <w:sz w:val="21"/>
          <w:szCs w:val="21"/>
          <w:highlight w:val="red"/>
        </w:rPr>
        <w:t>Nominalisation d’un adjectif</w:t>
      </w:r>
    </w:p>
    <w:p w14:paraId="744156C7" w14:textId="77777777" w:rsidR="00FF4F9D" w:rsidRPr="00AD4021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i/>
          <w:sz w:val="21"/>
          <w:szCs w:val="21"/>
        </w:rPr>
      </w:pPr>
      <w:r w:rsidRPr="004F7A25">
        <w:rPr>
          <w:rFonts w:ascii="StoneSans" w:hAnsi="StoneSans" w:cs="StoneSans"/>
          <w:b/>
          <w:i/>
          <w:sz w:val="21"/>
          <w:szCs w:val="21"/>
          <w:highlight w:val="yellow"/>
        </w:rPr>
        <w:t>Répétition abrégée d’un groupe nominal</w:t>
      </w:r>
    </w:p>
    <w:p w14:paraId="09AB1538" w14:textId="77777777" w:rsidR="00FF4F9D" w:rsidRPr="00AD4021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i/>
          <w:sz w:val="21"/>
          <w:szCs w:val="21"/>
        </w:rPr>
      </w:pPr>
      <w:bookmarkStart w:id="2" w:name="_Hlk126053073"/>
      <w:r w:rsidRPr="004F7A25">
        <w:rPr>
          <w:rFonts w:ascii="StoneSans" w:hAnsi="StoneSans" w:cs="StoneSans"/>
          <w:b/>
          <w:i/>
          <w:sz w:val="21"/>
          <w:szCs w:val="21"/>
          <w:highlight w:val="green"/>
        </w:rPr>
        <w:t>Un pronom qui reprend un GN dont le noyau est un nom collectif</w:t>
      </w:r>
    </w:p>
    <w:p w14:paraId="0359C1D1" w14:textId="77777777" w:rsidR="00FF4F9D" w:rsidRPr="00AD4021" w:rsidRDefault="00FF4F9D" w:rsidP="00FF4F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StoneSans" w:hAnsi="StoneSans" w:cs="StoneSans"/>
          <w:b/>
          <w:i/>
          <w:sz w:val="21"/>
          <w:szCs w:val="21"/>
        </w:rPr>
      </w:pPr>
      <w:bookmarkStart w:id="3" w:name="_Hlk126052940"/>
      <w:bookmarkEnd w:id="2"/>
      <w:r w:rsidRPr="004F7A25">
        <w:rPr>
          <w:rFonts w:ascii="StoneSans" w:hAnsi="StoneSans" w:cs="StoneSans"/>
          <w:b/>
          <w:i/>
          <w:sz w:val="21"/>
          <w:szCs w:val="21"/>
          <w:highlight w:val="cyan"/>
        </w:rPr>
        <w:t>Un groupe adverbial qui remplace un GN</w:t>
      </w:r>
    </w:p>
    <w:bookmarkEnd w:id="3"/>
    <w:p w14:paraId="50409F03" w14:textId="77777777" w:rsidR="00FF4F9D" w:rsidRDefault="00FF4F9D" w:rsidP="00FF4F9D">
      <w:pPr>
        <w:autoSpaceDE w:val="0"/>
        <w:autoSpaceDN w:val="0"/>
        <w:adjustRightInd w:val="0"/>
        <w:spacing w:after="0" w:line="240" w:lineRule="auto"/>
        <w:ind w:left="1440" w:hanging="360"/>
      </w:pPr>
    </w:p>
    <w:p w14:paraId="4366D85F" w14:textId="77777777" w:rsidR="00FF4F9D" w:rsidRP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67F2D29B" w14:textId="420BC837" w:rsidR="00FF4F9D" w:rsidRPr="00FF4F9D" w:rsidRDefault="00FF4F9D" w:rsidP="00FF4F9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  <w:r w:rsidRPr="00FF4F9D">
        <w:rPr>
          <w:rFonts w:ascii="Clearface-Regular" w:hAnsi="Clearface-Regular" w:cs="Clearface-Regular"/>
        </w:rPr>
        <w:t xml:space="preserve">Les présentations étaient à peine terminées que le responsable s’est mis à tutoyer tout le monde. Dans les circonstances, ce </w:t>
      </w:r>
      <w:r w:rsidRPr="00FF4F9D">
        <w:rPr>
          <w:rFonts w:ascii="Clearface-Regular" w:hAnsi="Clearface-Regular" w:cs="Clearface-Regular"/>
        </w:rPr>
        <w:t>tutoiement a</w:t>
      </w:r>
      <w:r w:rsidRPr="00FF4F9D">
        <w:rPr>
          <w:rFonts w:ascii="Clearface-Regular" w:hAnsi="Clearface-Regular" w:cs="Clearface-Regular"/>
        </w:rPr>
        <w:t xml:space="preserve"> jeté un froid dans la conversation.</w:t>
      </w:r>
    </w:p>
    <w:p w14:paraId="69866DE1" w14:textId="4BC290B7" w:rsidR="00FF4F9D" w:rsidRDefault="00FF4F9D" w:rsidP="00FF4F9D">
      <w:pPr>
        <w:pStyle w:val="Paragraphedeliste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  <w:r>
        <w:rPr>
          <w:rFonts w:ascii="Clearface-Regular" w:hAnsi="Clearface-Regular" w:cs="Clearface-Regular"/>
        </w:rPr>
        <w:t xml:space="preserve"> Réponse :</w:t>
      </w:r>
    </w:p>
    <w:p w14:paraId="02369473" w14:textId="739FCAE2" w:rsid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54372F98" w14:textId="6429BED8" w:rsid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308B6280" w14:textId="6E4E8FE7" w:rsid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4D3E5B29" w14:textId="67DBE46C" w:rsidR="00FF4F9D" w:rsidRPr="00FF4F9D" w:rsidRDefault="00FF4F9D" w:rsidP="00FF4F9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  <w:r w:rsidRPr="00FF4F9D">
        <w:rPr>
          <w:rFonts w:ascii="Clearface-Regular" w:hAnsi="Clearface-Regular" w:cs="Clearface-Regular"/>
        </w:rPr>
        <w:t xml:space="preserve">Certains enfants dédaignent les plats qu’on leur présente. D’où vient </w:t>
      </w:r>
      <w:r w:rsidRPr="00034A00">
        <w:rPr>
          <w:rFonts w:ascii="Clearface-Regular" w:hAnsi="Clearface-Regular" w:cs="Clearface-Regular"/>
        </w:rPr>
        <w:t xml:space="preserve">ce </w:t>
      </w:r>
      <w:r w:rsidRPr="00034A00">
        <w:rPr>
          <w:rFonts w:ascii="Clearface-Heavy" w:hAnsi="Clearface-Heavy" w:cs="Clearface-Heavy"/>
        </w:rPr>
        <w:t>dédain</w:t>
      </w:r>
      <w:r w:rsidRPr="00FF4F9D">
        <w:rPr>
          <w:rFonts w:ascii="Clearface-Heavy" w:hAnsi="Clearface-Heavy" w:cs="Clearface-Heavy"/>
        </w:rPr>
        <w:t xml:space="preserve"> </w:t>
      </w:r>
      <w:r w:rsidRPr="00FF4F9D">
        <w:rPr>
          <w:rFonts w:ascii="Clearface-Regular" w:hAnsi="Clearface-Regular" w:cs="Clearface-Regular"/>
        </w:rPr>
        <w:t>qui semble si difficile à surmonter ?</w:t>
      </w:r>
    </w:p>
    <w:p w14:paraId="6C3C1094" w14:textId="77777777" w:rsidR="00FF4F9D" w:rsidRDefault="00FF4F9D" w:rsidP="00FF4F9D">
      <w:pPr>
        <w:pStyle w:val="Paragraphedeliste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  <w:r>
        <w:rPr>
          <w:rFonts w:ascii="Clearface-Regular" w:hAnsi="Clearface-Regular" w:cs="Clearface-Regular"/>
        </w:rPr>
        <w:t>Réponse :</w:t>
      </w:r>
    </w:p>
    <w:p w14:paraId="5754F20E" w14:textId="77777777" w:rsid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56F39517" w14:textId="70D6D953" w:rsid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22EA4D6C" w14:textId="77777777" w:rsidR="00FF4F9D" w:rsidRPr="00FF4F9D" w:rsidRDefault="00FF4F9D" w:rsidP="00FF4F9D">
      <w:pPr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65324E51" w14:textId="77777777" w:rsidR="00FF4F9D" w:rsidRPr="003275CD" w:rsidRDefault="00FF4F9D" w:rsidP="00FF4F9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learface-Regular" w:hAnsi="Clearface-Regular" w:cs="Clearface-Regular"/>
        </w:rPr>
      </w:pPr>
    </w:p>
    <w:p w14:paraId="5AA44F11" w14:textId="77777777" w:rsidR="00FF4F9D" w:rsidRDefault="00FF4F9D"/>
    <w:sectPr w:rsidR="00FF4F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earface-Regula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earface-Heavy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425A"/>
    <w:multiLevelType w:val="hybridMultilevel"/>
    <w:tmpl w:val="1BD892E0"/>
    <w:lvl w:ilvl="0" w:tplc="47920314">
      <w:start w:val="1"/>
      <w:numFmt w:val="decimal"/>
      <w:lvlText w:val="%1-"/>
      <w:lvlJc w:val="left"/>
      <w:pPr>
        <w:ind w:left="720" w:hanging="360"/>
      </w:pPr>
      <w:rPr>
        <w:rFonts w:ascii="Clearface-Regular" w:hAnsi="Clearface-Regular" w:cs="Clearface-Regular" w:hint="default"/>
        <w:sz w:val="22"/>
      </w:rPr>
    </w:lvl>
    <w:lvl w:ilvl="1" w:tplc="38B27564">
      <w:start w:val="1"/>
      <w:numFmt w:val="lowerLetter"/>
      <w:lvlText w:val="%2."/>
      <w:lvlJc w:val="left"/>
      <w:pPr>
        <w:ind w:left="1440" w:hanging="360"/>
      </w:pPr>
      <w:rPr>
        <w:rFonts w:ascii="Clearface-Regular" w:eastAsiaTheme="minorHAnsi" w:hAnsi="Clearface-Regular" w:cs="Clearface-Regular"/>
      </w:rPr>
    </w:lvl>
    <w:lvl w:ilvl="2" w:tplc="0C0C001B">
      <w:start w:val="1"/>
      <w:numFmt w:val="lowerRoman"/>
      <w:lvlText w:val="%3."/>
      <w:lvlJc w:val="right"/>
      <w:pPr>
        <w:ind w:left="2340" w:hanging="36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5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9D"/>
    <w:rsid w:val="00034A00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92CE"/>
  <w15:chartTrackingRefBased/>
  <w15:docId w15:val="{25A52392-CCAC-4A34-B448-B658D226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4F9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616</Characters>
  <Application>Microsoft Office Word</Application>
  <DocSecurity>0</DocSecurity>
  <Lines>5</Lines>
  <Paragraphs>1</Paragraphs>
  <ScaleCrop>false</ScaleCrop>
  <Company>Centre de services scolaire des Patriotes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BOIS, AMELIE</dc:creator>
  <cp:keywords/>
  <dc:description/>
  <cp:lastModifiedBy>BOIS, AMELIE</cp:lastModifiedBy>
  <cp:revision>2</cp:revision>
  <dcterms:created xsi:type="dcterms:W3CDTF">2023-04-18T14:08:00Z</dcterms:created>
  <dcterms:modified xsi:type="dcterms:W3CDTF">2023-04-18T14:14:00Z</dcterms:modified>
</cp:coreProperties>
</file>